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B3" w:rsidRDefault="008555B3"/>
    <w:p w:rsidR="008315EE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020442" w:rsidRPr="00020442" w:rsidTr="00020442">
        <w:tc>
          <w:tcPr>
            <w:tcW w:w="4361" w:type="dxa"/>
          </w:tcPr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44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442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442">
              <w:rPr>
                <w:rFonts w:ascii="Times New Roman" w:hAnsi="Times New Roman" w:cs="Times New Roman"/>
                <w:b/>
                <w:bCs/>
              </w:rPr>
              <w:t>БОЛДЫРЕВСКИЙ СЕЛЬСОВЕТ</w:t>
            </w: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442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442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020442" w:rsidRPr="00020442">
              <w:tc>
                <w:tcPr>
                  <w:tcW w:w="424" w:type="dxa"/>
                </w:tcPr>
                <w:p w:rsidR="00020442" w:rsidRPr="00020442" w:rsidRDefault="00020442" w:rsidP="0002044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20442" w:rsidRPr="00020442" w:rsidRDefault="00020442" w:rsidP="0002044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27.12.2023</w:t>
                  </w:r>
                </w:p>
              </w:tc>
              <w:tc>
                <w:tcPr>
                  <w:tcW w:w="468" w:type="dxa"/>
                  <w:hideMark/>
                </w:tcPr>
                <w:p w:rsidR="00020442" w:rsidRPr="00020442" w:rsidRDefault="00020442" w:rsidP="0002044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04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20442" w:rsidRPr="00020442" w:rsidRDefault="00020442" w:rsidP="00020442">
                  <w:pPr>
                    <w:widowControl/>
                    <w:tabs>
                      <w:tab w:val="left" w:pos="708"/>
                      <w:tab w:val="center" w:pos="4677"/>
                      <w:tab w:val="right" w:pos="9355"/>
                    </w:tabs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141</w:t>
                  </w:r>
                  <w:r w:rsidRPr="000204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20442" w:rsidRPr="00020442" w:rsidRDefault="00020442" w:rsidP="00020442">
            <w:pPr>
              <w:widowControl/>
              <w:tabs>
                <w:tab w:val="left" w:pos="708"/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020442" w:rsidRPr="00020442">
              <w:trPr>
                <w:trHeight w:val="80"/>
              </w:trPr>
              <w:tc>
                <w:tcPr>
                  <w:tcW w:w="283" w:type="dxa"/>
                </w:tcPr>
                <w:p w:rsidR="00020442" w:rsidRPr="00020442" w:rsidRDefault="00020442" w:rsidP="0002044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020442" w:rsidRPr="00020442" w:rsidRDefault="00020442" w:rsidP="00020442">
                  <w:pPr>
                    <w:widowControl/>
                    <w:autoSpaceDE/>
                    <w:autoSpaceDN/>
                    <w:adjustRightInd/>
                    <w:ind w:firstLine="6"/>
                    <w:rPr>
                      <w:rFonts w:ascii="Times New Roman" w:hAnsi="Times New Roman" w:cs="Times New Roman"/>
                    </w:rPr>
                  </w:pPr>
                  <w:r w:rsidRPr="00020442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020442" w:rsidRPr="00020442" w:rsidRDefault="00020442" w:rsidP="0002044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0442" w:rsidRPr="00020442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020442" w:rsidRPr="00020442" w:rsidRDefault="00020442" w:rsidP="0002044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020442" w:rsidRPr="00020442" w:rsidRDefault="00020442" w:rsidP="000204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315EE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315EE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Об определении случаев осуществления </w:t>
      </w:r>
    </w:p>
    <w:p w:rsidR="008315EE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банковского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1F">
        <w:rPr>
          <w:rFonts w:ascii="Times New Roman" w:hAnsi="Times New Roman" w:cs="Times New Roman"/>
          <w:sz w:val="28"/>
          <w:szCs w:val="28"/>
        </w:rPr>
        <w:t xml:space="preserve">контрактов, </w:t>
      </w:r>
    </w:p>
    <w:p w:rsidR="008315EE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предметом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1F">
        <w:rPr>
          <w:rFonts w:ascii="Times New Roman" w:hAnsi="Times New Roman" w:cs="Times New Roman"/>
          <w:sz w:val="28"/>
          <w:szCs w:val="28"/>
        </w:rPr>
        <w:t xml:space="preserve">являются поставки </w:t>
      </w:r>
    </w:p>
    <w:p w:rsidR="008315EE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товаров,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1F">
        <w:rPr>
          <w:rFonts w:ascii="Times New Roman" w:hAnsi="Times New Roman" w:cs="Times New Roman"/>
          <w:sz w:val="28"/>
          <w:szCs w:val="28"/>
        </w:rPr>
        <w:t xml:space="preserve">работ, оказание услуг </w:t>
      </w:r>
    </w:p>
    <w:p w:rsidR="008315EE" w:rsidRPr="00BA1E1F" w:rsidRDefault="008315EE" w:rsidP="008315E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1F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</w:t>
      </w:r>
      <w:r w:rsidR="0002044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15EE" w:rsidRDefault="008315EE" w:rsidP="008315EE">
      <w:pPr>
        <w:pStyle w:val="a3"/>
        <w:ind w:left="1416" w:firstLine="708"/>
        <w:rPr>
          <w:sz w:val="16"/>
          <w:szCs w:val="16"/>
        </w:rPr>
      </w:pP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Во исполнение требований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20.09.2014 № 963 «Об осуществлении банковского сопровождения контрактов», постановления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Оренбургской области»,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34777191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</w:t>
      </w:r>
      <w:bookmarkEnd w:id="1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A1E1F">
        <w:rPr>
          <w:rFonts w:ascii="Times New Roman" w:hAnsi="Times New Roman" w:cs="Times New Roman"/>
          <w:sz w:val="28"/>
          <w:szCs w:val="28"/>
        </w:rPr>
        <w:t>: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а) в отношении банковского сопровождения контракта, заключающегося в проведении мониторинга </w:t>
      </w:r>
      <w:proofErr w:type="spellStart"/>
      <w:r w:rsidRPr="00BA1E1F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BA1E1F">
        <w:rPr>
          <w:rFonts w:ascii="Times New Roman" w:hAnsi="Times New Roman" w:cs="Times New Roman"/>
          <w:sz w:val="28"/>
          <w:szCs w:val="28"/>
        </w:rPr>
        <w:t xml:space="preserve"> в рамках исполнения контракта: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контракт, заключаемый в соответствии с частью 16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 значение цены контракта) превышает пятьдесят миллионов рублей;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контракт (контракты), или предмет контракта, или поставщик </w:t>
      </w:r>
      <w:r w:rsidRPr="00BA1E1F">
        <w:rPr>
          <w:rFonts w:ascii="Times New Roman" w:hAnsi="Times New Roman" w:cs="Times New Roman"/>
          <w:sz w:val="28"/>
          <w:szCs w:val="28"/>
        </w:rPr>
        <w:lastRenderedPageBreak/>
        <w:t xml:space="preserve">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</w:t>
      </w:r>
      <w:proofErr w:type="spellStart"/>
      <w:r w:rsidRPr="00BA1E1F">
        <w:rPr>
          <w:rFonts w:ascii="Times New Roman" w:hAnsi="Times New Roman" w:cs="Times New Roman"/>
          <w:sz w:val="28"/>
          <w:szCs w:val="28"/>
        </w:rPr>
        <w:t>введенные</w:t>
      </w:r>
      <w:proofErr w:type="spellEnd"/>
      <w:r w:rsidRPr="00BA1E1F">
        <w:rPr>
          <w:rFonts w:ascii="Times New Roman" w:hAnsi="Times New Roman" w:cs="Times New Roman"/>
          <w:sz w:val="28"/>
          <w:szCs w:val="28"/>
        </w:rPr>
        <w:t xml:space="preserve">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пятьсот миллионов рублей и актом не установлена обязанность заказчика включить в такой контракт условие об обеспечении его исполнения;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(цена контракта, заключаемого с единственным поставщиком) превышает пятьсот миллионов рублей и </w:t>
      </w:r>
      <w:proofErr w:type="spellStart"/>
      <w:r w:rsidRPr="00BA1E1F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BA1E1F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Российской Федерации и (или) государственной программой Оренбургской области, муниципальной (комплексной)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A1E1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B86">
        <w:rPr>
          <w:rFonts w:ascii="Times New Roman" w:hAnsi="Times New Roman" w:cs="Times New Roman"/>
          <w:sz w:val="28"/>
          <w:szCs w:val="28"/>
        </w:rPr>
        <w:t xml:space="preserve"> </w:t>
      </w:r>
      <w:r w:rsidRPr="00AF5D2E">
        <w:rPr>
          <w:rFonts w:ascii="Times New Roman" w:hAnsi="Times New Roman" w:cs="Times New Roman"/>
          <w:sz w:val="28"/>
          <w:szCs w:val="28"/>
        </w:rPr>
        <w:t xml:space="preserve">муниципальной (комплексной)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D2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F5D2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F5D2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1F">
        <w:rPr>
          <w:rFonts w:ascii="Times New Roman" w:hAnsi="Times New Roman" w:cs="Times New Roman"/>
          <w:sz w:val="28"/>
          <w:szCs w:val="28"/>
        </w:rPr>
        <w:t>предусмотрена обязанность привлечения банка в целях банковского сопровождения;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</w:t>
      </w:r>
      <w:proofErr w:type="spellStart"/>
      <w:r w:rsidRPr="00BA1E1F">
        <w:rPr>
          <w:rFonts w:ascii="Times New Roman" w:hAnsi="Times New Roman" w:cs="Times New Roman"/>
          <w:sz w:val="28"/>
          <w:szCs w:val="28"/>
        </w:rPr>
        <w:t>введенные</w:t>
      </w:r>
      <w:proofErr w:type="spellEnd"/>
      <w:r w:rsidRPr="00BA1E1F">
        <w:rPr>
          <w:rFonts w:ascii="Times New Roman" w:hAnsi="Times New Roman" w:cs="Times New Roman"/>
          <w:sz w:val="28"/>
          <w:szCs w:val="28"/>
        </w:rPr>
        <w:t xml:space="preserve">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2. Привлечение банка поставщиком (подрядчиком, исполнителем) в целях банковского сопровождения контракта осуществляется в случаях, предусмотренных абзацем вторым подпункта «а» и абзацем вторым подпункта «б» пункта 1 настоящего постановления.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>3. Привлечение банка заказчиком в целях банковского сопровождения контракта осуществляется в случаях, предусмотренных абзацем вторым подпункта «б» пункта 1 настоящего постановления.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4.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r:id="rId4" w:history="1">
        <w:r w:rsidRPr="00BA1E1F">
          <w:rPr>
            <w:rFonts w:ascii="Times New Roman" w:hAnsi="Times New Roman" w:cs="Times New Roman"/>
            <w:sz w:val="28"/>
            <w:szCs w:val="28"/>
          </w:rPr>
          <w:t>абзацем третьим подпункта «а</w:t>
        </w:r>
      </w:hyperlink>
      <w:r w:rsidRPr="00BA1E1F">
        <w:rPr>
          <w:rFonts w:ascii="Times New Roman" w:hAnsi="Times New Roman" w:cs="Times New Roman"/>
          <w:sz w:val="28"/>
          <w:szCs w:val="28"/>
        </w:rPr>
        <w:t xml:space="preserve">» или </w:t>
      </w:r>
      <w:hyperlink r:id="rId5" w:history="1">
        <w:r w:rsidRPr="00BA1E1F">
          <w:rPr>
            <w:rFonts w:ascii="Times New Roman" w:hAnsi="Times New Roman" w:cs="Times New Roman"/>
            <w:sz w:val="28"/>
            <w:szCs w:val="28"/>
          </w:rPr>
          <w:t>абзацем четвертым подпункта «б» пункта 1</w:t>
        </w:r>
      </w:hyperlink>
      <w:r w:rsidRPr="00BA1E1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E1F">
        <w:rPr>
          <w:rFonts w:ascii="Times New Roman" w:hAnsi="Times New Roman" w:cs="Times New Roman"/>
          <w:sz w:val="28"/>
          <w:szCs w:val="28"/>
        </w:rPr>
        <w:t xml:space="preserve">5. Банковское сопровождение контракта в случаях, предусмотренных </w:t>
      </w:r>
      <w:hyperlink r:id="rId6" w:history="1">
        <w:r w:rsidRPr="00BA1E1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A1E1F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в соответствии с </w:t>
      </w:r>
      <w:hyperlink r:id="rId7" w:history="1">
        <w:r w:rsidRPr="00BA1E1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A1E1F">
        <w:rPr>
          <w:rFonts w:ascii="Times New Roman" w:hAnsi="Times New Roman" w:cs="Times New Roman"/>
          <w:sz w:val="28"/>
          <w:szCs w:val="28"/>
        </w:rPr>
        <w:t xml:space="preserve"> осуществления банковского сопровождения контрактов, </w:t>
      </w:r>
      <w:proofErr w:type="spellStart"/>
      <w:r w:rsidRPr="00BA1E1F">
        <w:rPr>
          <w:rFonts w:ascii="Times New Roman" w:hAnsi="Times New Roman" w:cs="Times New Roman"/>
          <w:sz w:val="28"/>
          <w:szCs w:val="28"/>
        </w:rPr>
        <w:t>утвержденными</w:t>
      </w:r>
      <w:proofErr w:type="spellEnd"/>
      <w:r w:rsidRPr="00BA1E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 сентября 2014 года № 963 «Об осуществлении банковского сопровождения </w:t>
      </w:r>
      <w:r w:rsidRPr="00BA1E1F">
        <w:rPr>
          <w:rFonts w:ascii="Times New Roman" w:hAnsi="Times New Roman" w:cs="Times New Roman"/>
          <w:sz w:val="28"/>
          <w:szCs w:val="28"/>
        </w:rPr>
        <w:lastRenderedPageBreak/>
        <w:t>контрактов».</w:t>
      </w: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1E1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BA1E1F">
        <w:rPr>
          <w:rFonts w:ascii="Times New Roman" w:hAnsi="Times New Roman" w:cs="Times New Roman"/>
          <w:sz w:val="28"/>
          <w:szCs w:val="28"/>
        </w:rPr>
        <w:t>.</w:t>
      </w:r>
    </w:p>
    <w:p w:rsidR="008315EE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1E1F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</w:t>
      </w:r>
      <w:r>
        <w:rPr>
          <w:rFonts w:ascii="Times New Roman" w:hAnsi="Times New Roman" w:cs="Times New Roman"/>
          <w:sz w:val="28"/>
          <w:szCs w:val="28"/>
        </w:rPr>
        <w:t>бнародования и подлежит размещению на официальном сайте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BA1E1F">
        <w:rPr>
          <w:rFonts w:ascii="Times New Roman" w:hAnsi="Times New Roman" w:cs="Times New Roman"/>
          <w:sz w:val="28"/>
          <w:szCs w:val="28"/>
        </w:rPr>
        <w:t>.</w:t>
      </w:r>
    </w:p>
    <w:p w:rsidR="008315EE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5EE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5EE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5EE" w:rsidRPr="00BA1E1F" w:rsidRDefault="008315EE" w:rsidP="00831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5EE" w:rsidRPr="00492BC0" w:rsidRDefault="008315EE" w:rsidP="008315EE">
      <w:pPr>
        <w:pStyle w:val="a3"/>
        <w:ind w:left="1416" w:firstLine="708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3177"/>
        <w:gridCol w:w="4148"/>
        <w:gridCol w:w="519"/>
      </w:tblGrid>
      <w:tr w:rsidR="008315EE" w:rsidTr="00121C5A">
        <w:tc>
          <w:tcPr>
            <w:tcW w:w="4785" w:type="dxa"/>
            <w:gridSpan w:val="2"/>
            <w:shd w:val="clear" w:color="auto" w:fill="auto"/>
          </w:tcPr>
          <w:p w:rsidR="008315EE" w:rsidRDefault="008315EE" w:rsidP="00121C5A">
            <w:r w:rsidRPr="00004C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254" w:type="dxa"/>
            <w:shd w:val="clear" w:color="auto" w:fill="auto"/>
          </w:tcPr>
          <w:p w:rsidR="008315EE" w:rsidRPr="00675D53" w:rsidRDefault="008315EE" w:rsidP="00121C5A">
            <w:pPr>
              <w:tabs>
                <w:tab w:val="left" w:pos="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Н.В. Широкова</w:t>
            </w:r>
          </w:p>
        </w:tc>
        <w:tc>
          <w:tcPr>
            <w:tcW w:w="531" w:type="dxa"/>
            <w:shd w:val="clear" w:color="auto" w:fill="auto"/>
          </w:tcPr>
          <w:p w:rsidR="008315EE" w:rsidRPr="00B91B86" w:rsidRDefault="008315EE" w:rsidP="00121C5A">
            <w:pPr>
              <w:rPr>
                <w:highlight w:val="yellow"/>
              </w:rPr>
            </w:pPr>
          </w:p>
        </w:tc>
      </w:tr>
      <w:tr w:rsidR="008315EE" w:rsidTr="00121C5A">
        <w:trPr>
          <w:trHeight w:val="1313"/>
        </w:trPr>
        <w:tc>
          <w:tcPr>
            <w:tcW w:w="1525" w:type="dxa"/>
            <w:shd w:val="clear" w:color="auto" w:fill="auto"/>
          </w:tcPr>
          <w:p w:rsidR="008315EE" w:rsidRDefault="008315EE" w:rsidP="00121C5A"/>
        </w:tc>
        <w:tc>
          <w:tcPr>
            <w:tcW w:w="7514" w:type="dxa"/>
            <w:gridSpan w:val="2"/>
            <w:shd w:val="clear" w:color="auto" w:fill="auto"/>
          </w:tcPr>
          <w:p w:rsidR="008315EE" w:rsidRPr="00BC0BD7" w:rsidRDefault="008315EE" w:rsidP="00121C5A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</w:p>
          <w:p w:rsidR="008315EE" w:rsidRPr="00BC0BD7" w:rsidRDefault="008315EE" w:rsidP="00121C5A">
            <w:pPr>
              <w:pStyle w:val="a3"/>
              <w:rPr>
                <w:rFonts w:cs="Arial"/>
                <w:lang w:val="ru-RU"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en-US" w:eastAsia="ru-RU"/>
              </w:rPr>
              <w:t xml:space="preserve">                   </w:t>
            </w:r>
          </w:p>
        </w:tc>
        <w:tc>
          <w:tcPr>
            <w:tcW w:w="531" w:type="dxa"/>
            <w:shd w:val="clear" w:color="auto" w:fill="auto"/>
          </w:tcPr>
          <w:p w:rsidR="008315EE" w:rsidRDefault="008315EE" w:rsidP="00121C5A">
            <w:pPr>
              <w:jc w:val="both"/>
            </w:pPr>
          </w:p>
        </w:tc>
      </w:tr>
    </w:tbl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>
      <w:pPr>
        <w:tabs>
          <w:tab w:val="left" w:pos="1500"/>
        </w:tabs>
      </w:pPr>
      <w:r>
        <w:tab/>
      </w: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Default="008315EE" w:rsidP="008315EE">
      <w:pPr>
        <w:tabs>
          <w:tab w:val="left" w:pos="1500"/>
        </w:tabs>
      </w:pPr>
    </w:p>
    <w:p w:rsidR="008315EE" w:rsidRPr="00750454" w:rsidRDefault="008315EE" w:rsidP="008315EE">
      <w:pPr>
        <w:pStyle w:val="ConsPlusNormal"/>
        <w:tabs>
          <w:tab w:val="left" w:pos="3735"/>
          <w:tab w:val="center" w:pos="4948"/>
        </w:tabs>
        <w:ind w:firstLine="540"/>
        <w:jc w:val="center"/>
        <w:rPr>
          <w:rFonts w:ascii="Times New Roman" w:hAnsi="Times New Roman"/>
        </w:rPr>
      </w:pPr>
      <w:r w:rsidRPr="00750454">
        <w:rPr>
          <w:rFonts w:ascii="Times New Roman" w:hAnsi="Times New Roman"/>
          <w:sz w:val="20"/>
        </w:rPr>
        <w:t xml:space="preserve">     </w:t>
      </w:r>
    </w:p>
    <w:p w:rsidR="008315EE" w:rsidRPr="00750454" w:rsidRDefault="008315EE" w:rsidP="008315EE">
      <w:pPr>
        <w:ind w:right="-23"/>
        <w:jc w:val="both"/>
        <w:rPr>
          <w:rFonts w:ascii="Times New Roman" w:hAnsi="Times New Roman" w:cs="Times New Roman"/>
        </w:rPr>
      </w:pPr>
    </w:p>
    <w:p w:rsidR="008315EE" w:rsidRPr="00750454" w:rsidRDefault="008315EE" w:rsidP="008315EE">
      <w:pPr>
        <w:pStyle w:val="ConsPlusTitle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5045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315EE" w:rsidRPr="00750454" w:rsidRDefault="008315EE" w:rsidP="008315EE">
      <w:pPr>
        <w:pStyle w:val="ConsPlusTitle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Default="008315EE" w:rsidP="008315EE"/>
    <w:p w:rsidR="008315EE" w:rsidRPr="00BA1E1F" w:rsidRDefault="008315EE" w:rsidP="008315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4FDA" w:rsidRDefault="00AC4FDA"/>
    <w:sectPr w:rsidR="00AC4FDA" w:rsidSect="0002044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69"/>
    <w:rsid w:val="00020442"/>
    <w:rsid w:val="00774069"/>
    <w:rsid w:val="008315EE"/>
    <w:rsid w:val="008555B3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B4994-4215-49AE-A8C1-AD1A4DC9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15EE"/>
    <w:pPr>
      <w:spacing w:after="120"/>
    </w:pPr>
    <w:rPr>
      <w:rFonts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315E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831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31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5EE"/>
    <w:rPr>
      <w:rFonts w:ascii="Calibri" w:eastAsia="Times New Roman" w:hAnsi="Calibri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4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59A396864C1B0BFD9E3357CB3427E203E3A86D067159CF012620FFCFA4C0722C74D7AB2EAA8829C7A70AF6D84581AC0CA2775D8F0FD78W0k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59A396864C1B0BFD9FD386ADF1F7A2435678BD86619CDA4436458A3AA4A5262874B2FF1AEA5819E7124FE2CDA014B81812A70C3ECFD7F198D1BE5W1k5E" TargetMode="External"/><Relationship Id="rId5" Type="http://schemas.openxmlformats.org/officeDocument/2006/relationships/hyperlink" Target="consultantplus://offline/ref=ABF46A41D109AFCA0A7F8497FF8307AFB924CCD943A4CED944F7162FC1877AF6AD6878BA65D1922BE8D46B8B6B95F4491AF7DA7C89259C098D47BD4FMCi9E" TargetMode="External"/><Relationship Id="rId4" Type="http://schemas.openxmlformats.org/officeDocument/2006/relationships/hyperlink" Target="consultantplus://offline/ref=ABF46A41D109AFCA0A7F8497FF8307AFB924CCD943A4CED944F7162FC1877AF6AD6878BA65D1922BE8D46B8B6995F4491AF7DA7C89259C098D47BD4FMCi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2023-12-27T07:35:00Z</cp:lastPrinted>
  <dcterms:created xsi:type="dcterms:W3CDTF">2023-08-11T11:07:00Z</dcterms:created>
  <dcterms:modified xsi:type="dcterms:W3CDTF">2023-12-27T07:35:00Z</dcterms:modified>
</cp:coreProperties>
</file>